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1435"/>
        <w:gridCol w:w="5953"/>
        <w:gridCol w:w="1403"/>
        <w:gridCol w:w="1411"/>
        <w:gridCol w:w="2349"/>
        <w:gridCol w:w="1558"/>
      </w:tblGrid>
      <w:tr w:rsidR="008B2601" w:rsidRPr="004E5D3D" w:rsidTr="00683CEC">
        <w:tc>
          <w:tcPr>
            <w:tcW w:w="14109" w:type="dxa"/>
            <w:gridSpan w:val="6"/>
            <w:shd w:val="clear" w:color="auto" w:fill="BFBFBF" w:themeFill="background1" w:themeFillShade="BF"/>
          </w:tcPr>
          <w:p w:rsidR="008B2601" w:rsidRPr="004E5D3D" w:rsidRDefault="008B2601" w:rsidP="00E0459F">
            <w:pPr>
              <w:pStyle w:val="Bezriadkovania"/>
              <w:rPr>
                <w:sz w:val="20"/>
                <w:szCs w:val="20"/>
              </w:rPr>
            </w:pPr>
            <w:r w:rsidRPr="004E5D3D">
              <w:rPr>
                <w:sz w:val="20"/>
                <w:szCs w:val="20"/>
              </w:rPr>
              <w:t xml:space="preserve">Zariadenie na </w:t>
            </w:r>
            <w:r w:rsidR="003F0EE8" w:rsidRPr="004E5D3D">
              <w:rPr>
                <w:sz w:val="20"/>
                <w:szCs w:val="20"/>
              </w:rPr>
              <w:t>uskladnenie</w:t>
            </w:r>
            <w:r w:rsidRPr="004E5D3D">
              <w:rPr>
                <w:sz w:val="20"/>
                <w:szCs w:val="20"/>
              </w:rPr>
              <w:t xml:space="preserve"> a dopravu sóje</w:t>
            </w:r>
          </w:p>
        </w:tc>
      </w:tr>
      <w:tr w:rsidR="008B2601" w:rsidRPr="004E5D3D" w:rsidTr="00683CEC">
        <w:tc>
          <w:tcPr>
            <w:tcW w:w="14109" w:type="dxa"/>
            <w:gridSpan w:val="6"/>
            <w:shd w:val="clear" w:color="auto" w:fill="D9D9D9" w:themeFill="background1" w:themeFillShade="D9"/>
          </w:tcPr>
          <w:p w:rsidR="008B2601" w:rsidRPr="004E5D3D" w:rsidRDefault="008B2601" w:rsidP="00E0459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4E5D3D">
              <w:rPr>
                <w:rFonts w:cstheme="minorHAnsi"/>
                <w:b/>
                <w:i/>
                <w:sz w:val="20"/>
                <w:szCs w:val="20"/>
              </w:rPr>
              <w:t xml:space="preserve">Konkrétny názov  a výrobca ponúkaného zariadenia: </w:t>
            </w:r>
          </w:p>
        </w:tc>
      </w:tr>
      <w:tr w:rsidR="008B2601" w:rsidRPr="004E5D3D" w:rsidTr="00683CEC">
        <w:tc>
          <w:tcPr>
            <w:tcW w:w="1435" w:type="dxa"/>
            <w:shd w:val="clear" w:color="auto" w:fill="D9D9D9" w:themeFill="background1" w:themeFillShade="D9"/>
          </w:tcPr>
          <w:p w:rsidR="008B2601" w:rsidRPr="004E5D3D" w:rsidRDefault="008B2601" w:rsidP="00E045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8B2601" w:rsidRPr="004E5D3D" w:rsidRDefault="008B2601" w:rsidP="00E045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D3D">
              <w:rPr>
                <w:rFonts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8B2601" w:rsidRPr="004E5D3D" w:rsidRDefault="008B2601" w:rsidP="00E045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D3D">
              <w:rPr>
                <w:rFonts w:cstheme="minorHAnsi"/>
                <w:b/>
                <w:sz w:val="20"/>
                <w:szCs w:val="20"/>
              </w:rPr>
              <w:t>Merná jednotka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B2601" w:rsidRPr="004E5D3D" w:rsidRDefault="008B2601" w:rsidP="00E045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D3D">
              <w:rPr>
                <w:rFonts w:cstheme="minorHAnsi"/>
                <w:b/>
                <w:sz w:val="20"/>
                <w:szCs w:val="20"/>
              </w:rPr>
              <w:t>Požadovaná hodnota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8B2601" w:rsidRPr="004E5D3D" w:rsidRDefault="008B2601" w:rsidP="00E045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D3D">
              <w:rPr>
                <w:rFonts w:cstheme="minorHAnsi"/>
                <w:b/>
                <w:sz w:val="20"/>
                <w:szCs w:val="20"/>
              </w:rPr>
              <w:t>Hodnota parametra predkladateľa ponuky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8B2601" w:rsidRPr="004E5D3D" w:rsidRDefault="008B2601" w:rsidP="00E0459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D3D">
              <w:rPr>
                <w:rFonts w:cstheme="minorHAnsi"/>
                <w:b/>
                <w:sz w:val="20"/>
                <w:szCs w:val="20"/>
              </w:rPr>
              <w:t>Cena v EUR</w:t>
            </w:r>
          </w:p>
        </w:tc>
      </w:tr>
      <w:tr w:rsidR="003334C4" w:rsidRPr="004E5D3D" w:rsidTr="00683CEC">
        <w:tc>
          <w:tcPr>
            <w:tcW w:w="1435" w:type="dxa"/>
            <w:vMerge w:val="restart"/>
          </w:tcPr>
          <w:p w:rsidR="003334C4" w:rsidRPr="004E5D3D" w:rsidRDefault="003334C4" w:rsidP="00E0459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3" w:colLast="3"/>
            <w:r w:rsidRPr="004E5D3D">
              <w:rPr>
                <w:rFonts w:cstheme="minorHAnsi"/>
                <w:b/>
                <w:sz w:val="20"/>
                <w:szCs w:val="20"/>
              </w:rPr>
              <w:t>Zariadenie na uskladnenie a dopravu sóje</w:t>
            </w:r>
          </w:p>
        </w:tc>
        <w:tc>
          <w:tcPr>
            <w:tcW w:w="5953" w:type="dxa"/>
          </w:tcPr>
          <w:p w:rsidR="003334C4" w:rsidRPr="005D27F1" w:rsidRDefault="003334C4" w:rsidP="00E0459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27F1">
              <w:rPr>
                <w:rFonts w:ascii="Calibri" w:hAnsi="Calibri" w:cs="Calibri"/>
                <w:b/>
                <w:bCs/>
                <w:sz w:val="20"/>
                <w:szCs w:val="20"/>
              </w:rPr>
              <w:t>Dopravn</w:t>
            </w:r>
            <w:r w:rsidR="0062410E" w:rsidRPr="005D27F1">
              <w:rPr>
                <w:rFonts w:ascii="Calibri" w:hAnsi="Calibri" w:cs="Calibri"/>
                <w:b/>
                <w:bCs/>
                <w:sz w:val="20"/>
                <w:szCs w:val="20"/>
              </w:rPr>
              <w:t>ík plniaci do zásobného sila</w:t>
            </w:r>
          </w:p>
        </w:tc>
        <w:tc>
          <w:tcPr>
            <w:tcW w:w="1403" w:type="dxa"/>
          </w:tcPr>
          <w:p w:rsidR="003334C4" w:rsidRPr="005D27F1" w:rsidRDefault="003334C4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</w:tcPr>
          <w:p w:rsidR="003334C4" w:rsidRPr="005D27F1" w:rsidRDefault="003334C4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9E2F3" w:themeFill="accent1" w:themeFillTint="33"/>
          </w:tcPr>
          <w:p w:rsidR="003334C4" w:rsidRPr="004E5D3D" w:rsidRDefault="003334C4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D9E2F3" w:themeFill="accent1" w:themeFillTint="33"/>
          </w:tcPr>
          <w:p w:rsidR="003334C4" w:rsidRPr="004E5D3D" w:rsidRDefault="003334C4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334C4" w:rsidRPr="004E5D3D" w:rsidTr="00683CEC">
        <w:tc>
          <w:tcPr>
            <w:tcW w:w="1435" w:type="dxa"/>
            <w:vMerge/>
          </w:tcPr>
          <w:p w:rsidR="003334C4" w:rsidRPr="004E5D3D" w:rsidRDefault="003334C4" w:rsidP="00E0459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334C4" w:rsidRPr="005D27F1" w:rsidRDefault="0062410E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Doprava do zásobného sila </w:t>
            </w:r>
          </w:p>
        </w:tc>
        <w:tc>
          <w:tcPr>
            <w:tcW w:w="1403" w:type="dxa"/>
          </w:tcPr>
          <w:p w:rsidR="003334C4" w:rsidRPr="005D27F1" w:rsidRDefault="0062410E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62410E" w:rsidRPr="005D27F1" w:rsidRDefault="0062410E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3334C4" w:rsidRPr="004E5D3D" w:rsidRDefault="003334C4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3334C4" w:rsidRPr="004E5D3D" w:rsidRDefault="003334C4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Korčekový elevátor –</w:t>
            </w:r>
            <w:r w:rsidR="00FE7099">
              <w:rPr>
                <w:rFonts w:ascii="Calibri" w:hAnsi="Calibri" w:cs="Calibri"/>
                <w:sz w:val="20"/>
                <w:szCs w:val="20"/>
              </w:rPr>
              <w:t xml:space="preserve"> maximálny </w:t>
            </w:r>
            <w:r w:rsidR="00B84497" w:rsidRPr="005D27F1">
              <w:rPr>
                <w:rFonts w:ascii="Calibri" w:hAnsi="Calibri" w:cs="Calibri"/>
                <w:sz w:val="20"/>
                <w:szCs w:val="20"/>
              </w:rPr>
              <w:t>výkon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t/hod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min. 20 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Prispôsobené pre exteriérové umiestnenie 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Rozmery dopravník</w:t>
            </w:r>
            <w:r w:rsidR="00B84497" w:rsidRPr="005D27F1">
              <w:rPr>
                <w:rFonts w:ascii="Calibri" w:hAnsi="Calibri" w:cs="Calibri"/>
                <w:sz w:val="20"/>
                <w:szCs w:val="20"/>
              </w:rPr>
              <w:t>a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DE08CE" w:rsidRPr="005D27F1">
              <w:rPr>
                <w:rFonts w:ascii="Calibri" w:hAnsi="Calibri" w:cs="Calibri"/>
                <w:sz w:val="20"/>
                <w:szCs w:val="20"/>
              </w:rPr>
              <w:t>dĺžka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max. 15 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b/>
                <w:bCs/>
                <w:sz w:val="20"/>
                <w:szCs w:val="20"/>
              </w:rPr>
              <w:t>Skladovacie zásobné silo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B84497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Minimálna </w:t>
            </w:r>
            <w:r w:rsidR="00C066F5" w:rsidRPr="005D27F1">
              <w:rPr>
                <w:rFonts w:ascii="Calibri" w:hAnsi="Calibri" w:cs="Calibri"/>
                <w:sz w:val="20"/>
                <w:szCs w:val="20"/>
              </w:rPr>
              <w:t>kapacita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 uskladnenia</w:t>
            </w:r>
            <w:r w:rsidR="00C066F5" w:rsidRPr="005D27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3A6C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C066F5" w:rsidRPr="005D27F1">
              <w:rPr>
                <w:rFonts w:ascii="Calibri" w:hAnsi="Calibri" w:cs="Calibri"/>
                <w:sz w:val="20"/>
                <w:szCs w:val="20"/>
              </w:rPr>
              <w:t>35 ton suchej sóje (pri objemovej hmotnosti 850kg/m3)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min. 35 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Snímanie minimálnej a maximálnej hladiny sila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Prispôsobenie pre interiérové umiestnenie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Voľný vstup suroviny do sila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Uzatvárateľný výstup </w:t>
            </w:r>
            <w:r w:rsidR="00712580">
              <w:rPr>
                <w:rFonts w:ascii="Calibri" w:hAnsi="Calibri" w:cs="Calibri"/>
                <w:sz w:val="20"/>
                <w:szCs w:val="20"/>
              </w:rPr>
              <w:t>suroviny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 zo sila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27F1">
              <w:rPr>
                <w:rFonts w:ascii="Calibri" w:hAnsi="Calibri" w:cs="Calibri"/>
                <w:b/>
                <w:bCs/>
                <w:sz w:val="20"/>
                <w:szCs w:val="20"/>
              </w:rPr>
              <w:t>Dopravník zo sila do váhy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Nastavovanie prepravovanej hmotnosti zo sila do váhy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2E4634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Dopravník pásový – minimálny vý</w:t>
            </w:r>
            <w:r w:rsidR="002E4634" w:rsidRPr="005D27F1">
              <w:rPr>
                <w:rFonts w:ascii="Calibri" w:hAnsi="Calibri" w:cs="Calibri"/>
                <w:sz w:val="20"/>
                <w:szCs w:val="20"/>
              </w:rPr>
              <w:t>kon</w:t>
            </w:r>
            <w:r w:rsidR="00B23A6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t/hod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min. 6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rPr>
          <w:trHeight w:val="90"/>
        </w:trPr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Preprava medzi silom a váhou 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Rozmery dopravník</w:t>
            </w:r>
            <w:r w:rsidR="00B84497" w:rsidRPr="005D27F1">
              <w:rPr>
                <w:rFonts w:ascii="Calibri" w:hAnsi="Calibri" w:cs="Calibri"/>
                <w:sz w:val="20"/>
                <w:szCs w:val="20"/>
              </w:rPr>
              <w:t>a</w:t>
            </w:r>
            <w:r w:rsidR="00DE08CE" w:rsidRPr="005D27F1">
              <w:rPr>
                <w:rFonts w:ascii="Calibri" w:hAnsi="Calibri" w:cs="Calibri"/>
                <w:sz w:val="20"/>
                <w:szCs w:val="20"/>
              </w:rPr>
              <w:t xml:space="preserve"> - dĺžka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max. 12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27F1">
              <w:rPr>
                <w:rFonts w:ascii="Calibri" w:hAnsi="Calibri" w:cs="Calibri"/>
                <w:b/>
                <w:bCs/>
                <w:sz w:val="20"/>
                <w:szCs w:val="20"/>
              </w:rPr>
              <w:t>Elektroinštalácia a riadenie technologického procesu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Distribučné cesty:</w:t>
            </w:r>
          </w:p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a) Príjem suroviny z jestvujúceho násypného koša do skladovacieho sila. </w:t>
            </w:r>
            <w:r w:rsidR="00FE7099">
              <w:rPr>
                <w:rFonts w:ascii="Calibri" w:hAnsi="Calibri" w:cs="Calibri"/>
                <w:sz w:val="20"/>
                <w:szCs w:val="20"/>
              </w:rPr>
              <w:t>Maximálny v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ýkon </w:t>
            </w:r>
            <w:r w:rsidR="00FE7099"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5D27F1">
              <w:rPr>
                <w:rFonts w:ascii="Calibri" w:hAnsi="Calibri" w:cs="Calibri"/>
                <w:sz w:val="20"/>
                <w:szCs w:val="20"/>
              </w:rPr>
              <w:t>20t/hod.</w:t>
            </w:r>
          </w:p>
        </w:tc>
        <w:tc>
          <w:tcPr>
            <w:tcW w:w="1403" w:type="dxa"/>
          </w:tcPr>
          <w:p w:rsidR="00C066F5" w:rsidRPr="005D27F1" w:rsidRDefault="00473766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t/hod</w:t>
            </w:r>
          </w:p>
        </w:tc>
        <w:tc>
          <w:tcPr>
            <w:tcW w:w="1411" w:type="dxa"/>
          </w:tcPr>
          <w:p w:rsidR="00C066F5" w:rsidRPr="005D27F1" w:rsidRDefault="00473766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Min. 20 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b) Doprava suchej sóje zo zásobného sila </w:t>
            </w:r>
            <w:r w:rsidR="00B84497" w:rsidRPr="005D27F1">
              <w:rPr>
                <w:rFonts w:ascii="Calibri" w:hAnsi="Calibri" w:cs="Calibri"/>
                <w:sz w:val="20"/>
                <w:szCs w:val="20"/>
              </w:rPr>
              <w:t xml:space="preserve">cez jestvujúcu váhu 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B84497" w:rsidRPr="005D27F1">
              <w:rPr>
                <w:rFonts w:ascii="Calibri" w:hAnsi="Calibri" w:cs="Calibri"/>
                <w:sz w:val="20"/>
                <w:szCs w:val="20"/>
              </w:rPr>
              <w:t xml:space="preserve">jestvujúcich </w:t>
            </w:r>
            <w:r w:rsidRPr="005D27F1">
              <w:rPr>
                <w:rFonts w:ascii="Calibri" w:hAnsi="Calibri" w:cs="Calibri"/>
                <w:sz w:val="20"/>
                <w:szCs w:val="20"/>
              </w:rPr>
              <w:t>namáčacích síl (18ks), riadené elektronicky cez jestvujúci počítač, na základe zvoleného množstva sóje a</w:t>
            </w:r>
            <w:r w:rsidR="00B84497" w:rsidRPr="005D27F1">
              <w:rPr>
                <w:rFonts w:ascii="Calibri" w:hAnsi="Calibri" w:cs="Calibri"/>
                <w:sz w:val="20"/>
                <w:szCs w:val="20"/>
              </w:rPr>
              <w:t> </w:t>
            </w:r>
            <w:r w:rsidRPr="005D27F1">
              <w:rPr>
                <w:rFonts w:ascii="Calibri" w:hAnsi="Calibri" w:cs="Calibri"/>
                <w:sz w:val="20"/>
                <w:szCs w:val="20"/>
              </w:rPr>
              <w:t>určenia</w:t>
            </w:r>
            <w:r w:rsidR="00B84497" w:rsidRPr="005D27F1">
              <w:rPr>
                <w:rFonts w:ascii="Calibri" w:hAnsi="Calibri" w:cs="Calibri"/>
                <w:sz w:val="20"/>
                <w:szCs w:val="20"/>
              </w:rPr>
              <w:t>,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 do ktorých síl sa má sója plniť. Plnenie cez elektronicky riadené dopravníky, klapky a ventily.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Výzbroj nových strojov bude v samostatnom rozvádzači, ktorý bude umiestnený v blízkosti jestvujúcich rozvádzačov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Ovládanie linky pomocou jestvujúcich dotykových ovládacích panelov alebo miestne zo skriniek miestneho spustenia strojov (</w:t>
            </w:r>
            <w:proofErr w:type="spellStart"/>
            <w:r w:rsidRPr="005D27F1">
              <w:rPr>
                <w:rFonts w:ascii="Calibri" w:hAnsi="Calibri" w:cs="Calibri"/>
                <w:sz w:val="20"/>
                <w:szCs w:val="20"/>
              </w:rPr>
              <w:t>deblokačné</w:t>
            </w:r>
            <w:proofErr w:type="spellEnd"/>
            <w:r w:rsidRPr="005D27F1">
              <w:rPr>
                <w:rFonts w:ascii="Calibri" w:hAnsi="Calibri" w:cs="Calibri"/>
                <w:sz w:val="20"/>
                <w:szCs w:val="20"/>
              </w:rPr>
              <w:t xml:space="preserve"> skrinky), v blízkosti zariadení.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066F5" w:rsidRPr="004E5D3D" w:rsidTr="00683CEC">
        <w:tc>
          <w:tcPr>
            <w:tcW w:w="1435" w:type="dxa"/>
            <w:vMerge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 xml:space="preserve">V rozvádzači </w:t>
            </w:r>
            <w:r w:rsidR="00473766">
              <w:rPr>
                <w:rFonts w:ascii="Calibri" w:hAnsi="Calibri" w:cs="Calibri"/>
                <w:sz w:val="20"/>
                <w:szCs w:val="20"/>
              </w:rPr>
              <w:t>budú umiestnené</w:t>
            </w:r>
            <w:r w:rsidRPr="005D27F1">
              <w:rPr>
                <w:rFonts w:ascii="Calibri" w:hAnsi="Calibri" w:cs="Calibri"/>
                <w:sz w:val="20"/>
                <w:szCs w:val="20"/>
              </w:rPr>
              <w:t xml:space="preserve"> istiace a spínacie prvky pre spúšťanie strojov v linke.</w:t>
            </w:r>
          </w:p>
        </w:tc>
        <w:tc>
          <w:tcPr>
            <w:tcW w:w="1403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C066F5" w:rsidRPr="005D27F1" w:rsidRDefault="00C066F5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C066F5" w:rsidRPr="004E5D3D" w:rsidRDefault="00C066F5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3BEA" w:rsidRPr="004E5D3D" w:rsidTr="00683CEC">
        <w:tc>
          <w:tcPr>
            <w:tcW w:w="1435" w:type="dxa"/>
            <w:vMerge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463BEA" w:rsidRPr="005D27F1" w:rsidRDefault="00463BEA" w:rsidP="00A53A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Káblové trasy vytvorené pomocou káblových roštov a sieťoviny, ku strojom pomocou pancierových trubiek a trubiek KOPEX. Káble CYKY budú uložené pevne, v miestach možnosti poškodenia chránene.</w:t>
            </w:r>
            <w:r w:rsidR="00A53A38" w:rsidRPr="005D27F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3BEA" w:rsidRPr="004E5D3D" w:rsidTr="00683CEC">
        <w:tc>
          <w:tcPr>
            <w:tcW w:w="1435" w:type="dxa"/>
            <w:vMerge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463BEA" w:rsidRPr="005D27F1" w:rsidRDefault="00473766" w:rsidP="00A53A3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Postupné spúšťanie jednotlivých strojov linky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velína</w:t>
            </w:r>
            <w:proofErr w:type="spellEnd"/>
            <w:r w:rsidR="00463BEA" w:rsidRPr="005D27F1">
              <w:rPr>
                <w:rFonts w:ascii="Calibri" w:hAnsi="Calibri" w:cs="Calibri"/>
                <w:sz w:val="20"/>
                <w:szCs w:val="20"/>
              </w:rPr>
              <w:t xml:space="preserve">, podľa navolenej linky pre naskladňovanie a vyskladňovanie skladovacieho sila tak, aby postupným spúšťaním nedošlo k zahlteniu dopravných ciest a tým k poškodeniu inštalovanej technológie. </w:t>
            </w:r>
          </w:p>
        </w:tc>
        <w:tc>
          <w:tcPr>
            <w:tcW w:w="1403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3BEA" w:rsidRPr="004E5D3D" w:rsidTr="00683CEC">
        <w:tc>
          <w:tcPr>
            <w:tcW w:w="1435" w:type="dxa"/>
            <w:vMerge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27F1">
              <w:rPr>
                <w:rFonts w:ascii="Calibri" w:hAnsi="Calibri" w:cs="Calibri"/>
                <w:b/>
                <w:bCs/>
                <w:sz w:val="20"/>
                <w:szCs w:val="20"/>
              </w:rPr>
              <w:t>Legislatívne a hygienické požiadavky</w:t>
            </w:r>
          </w:p>
        </w:tc>
        <w:tc>
          <w:tcPr>
            <w:tcW w:w="1403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3BEA" w:rsidRPr="004E5D3D" w:rsidTr="00683CEC">
        <w:trPr>
          <w:trHeight w:val="90"/>
        </w:trPr>
        <w:tc>
          <w:tcPr>
            <w:tcW w:w="1435" w:type="dxa"/>
            <w:vMerge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Linka spĺňa požiadavky bezpečnosti pri práci a požiadavky hygieny potravín podľa platnej legislatívy EU a Slovenskej republiky</w:t>
            </w:r>
          </w:p>
        </w:tc>
        <w:tc>
          <w:tcPr>
            <w:tcW w:w="1403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áno/nie</w:t>
            </w:r>
          </w:p>
        </w:tc>
        <w:tc>
          <w:tcPr>
            <w:tcW w:w="1411" w:type="dxa"/>
          </w:tcPr>
          <w:p w:rsidR="00463BEA" w:rsidRPr="005D27F1" w:rsidRDefault="00463BEA" w:rsidP="00E0459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27F1">
              <w:rPr>
                <w:rFonts w:ascii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A97178" w:rsidRPr="004E5D3D" w:rsidTr="00683CEC">
        <w:trPr>
          <w:trHeight w:val="474"/>
        </w:trPr>
        <w:tc>
          <w:tcPr>
            <w:tcW w:w="1435" w:type="dxa"/>
            <w:vMerge w:val="restart"/>
          </w:tcPr>
          <w:p w:rsidR="00A97178" w:rsidRPr="002F5314" w:rsidRDefault="00A97178" w:rsidP="00A97178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F5314">
              <w:rPr>
                <w:rFonts w:cstheme="minorHAnsi"/>
                <w:b/>
                <w:bCs/>
                <w:sz w:val="20"/>
                <w:szCs w:val="20"/>
              </w:rPr>
              <w:t>Doplňujúce požiadavky</w:t>
            </w:r>
          </w:p>
        </w:tc>
        <w:tc>
          <w:tcPr>
            <w:tcW w:w="12674" w:type="dxa"/>
            <w:gridSpan w:val="5"/>
          </w:tcPr>
          <w:p w:rsidR="00A97178" w:rsidRPr="00735AE0" w:rsidRDefault="00A97178" w:rsidP="00A97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Doprava na miesto prevádzky:  Kremnička 71, Banská Bystrica</w:t>
            </w:r>
          </w:p>
        </w:tc>
      </w:tr>
      <w:tr w:rsidR="00683CEC" w:rsidRPr="004E5D3D" w:rsidTr="00683CEC">
        <w:tc>
          <w:tcPr>
            <w:tcW w:w="1435" w:type="dxa"/>
            <w:vMerge/>
          </w:tcPr>
          <w:p w:rsidR="00683CEC" w:rsidRPr="004E5D3D" w:rsidRDefault="00683CEC" w:rsidP="00683C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4" w:type="dxa"/>
            <w:gridSpan w:val="5"/>
          </w:tcPr>
          <w:p w:rsidR="00683CEC" w:rsidRPr="00735AE0" w:rsidRDefault="00683CEC" w:rsidP="00683C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Montáž, zapojenie zariadenia a uvedenie do prevádzky, nastavenie a skúšobná prevádzka</w:t>
            </w:r>
          </w:p>
        </w:tc>
      </w:tr>
      <w:tr w:rsidR="00683CEC" w:rsidRPr="004E5D3D" w:rsidTr="00683CEC">
        <w:tc>
          <w:tcPr>
            <w:tcW w:w="1435" w:type="dxa"/>
            <w:vMerge/>
          </w:tcPr>
          <w:p w:rsidR="00683CEC" w:rsidRPr="004E5D3D" w:rsidRDefault="00683CEC" w:rsidP="00683C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4" w:type="dxa"/>
            <w:gridSpan w:val="5"/>
          </w:tcPr>
          <w:p w:rsidR="00683CEC" w:rsidRPr="00735AE0" w:rsidRDefault="00683CEC" w:rsidP="00683C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Záručná lehota 24 mesiacov po uvedení do prevádzky  </w:t>
            </w:r>
            <w:r w:rsidRPr="00735AE0">
              <w:rPr>
                <w:rFonts w:cstheme="minorHAnsi"/>
              </w:rPr>
              <w:t> </w:t>
            </w:r>
          </w:p>
        </w:tc>
      </w:tr>
      <w:tr w:rsidR="00683CEC" w:rsidRPr="004E5D3D" w:rsidTr="00683CEC">
        <w:tc>
          <w:tcPr>
            <w:tcW w:w="1435" w:type="dxa"/>
            <w:vMerge/>
          </w:tcPr>
          <w:p w:rsidR="00683CEC" w:rsidRPr="004E5D3D" w:rsidRDefault="00683CEC" w:rsidP="00683C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4" w:type="dxa"/>
            <w:gridSpan w:val="5"/>
          </w:tcPr>
          <w:p w:rsidR="00683CEC" w:rsidRPr="00735AE0" w:rsidRDefault="00683CEC" w:rsidP="00683CE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5AE0">
              <w:rPr>
                <w:rFonts w:cstheme="minorHAnsi"/>
                <w:sz w:val="20"/>
                <w:szCs w:val="20"/>
              </w:rPr>
              <w:t>Návod na obsluhu - SK/CZ jazyk</w:t>
            </w:r>
          </w:p>
        </w:tc>
      </w:tr>
      <w:tr w:rsidR="00463BEA" w:rsidRPr="004E5D3D" w:rsidTr="00683CEC">
        <w:tc>
          <w:tcPr>
            <w:tcW w:w="12551" w:type="dxa"/>
            <w:gridSpan w:val="5"/>
          </w:tcPr>
          <w:p w:rsidR="00463BEA" w:rsidRPr="002025B9" w:rsidRDefault="00463BEA" w:rsidP="00E0459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025B9">
              <w:rPr>
                <w:rFonts w:cstheme="minorHAnsi"/>
                <w:b/>
                <w:bCs/>
                <w:sz w:val="20"/>
                <w:szCs w:val="20"/>
              </w:rPr>
              <w:t>Cena  spolu za zariadenie v EUR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63BEA" w:rsidRPr="004E5D3D" w:rsidTr="00683CEC">
        <w:tc>
          <w:tcPr>
            <w:tcW w:w="12551" w:type="dxa"/>
            <w:gridSpan w:val="5"/>
          </w:tcPr>
          <w:p w:rsidR="00463BEA" w:rsidRPr="002025B9" w:rsidRDefault="00463BEA" w:rsidP="00E0459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025B9">
              <w:rPr>
                <w:rFonts w:cstheme="minorHAnsi"/>
                <w:b/>
                <w:bCs/>
                <w:sz w:val="20"/>
                <w:szCs w:val="20"/>
              </w:rPr>
              <w:t>Dodacia lehota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:rsidR="00463BEA" w:rsidRPr="004E5D3D" w:rsidRDefault="00463BEA" w:rsidP="00E0459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E0459F" w:rsidRDefault="00E0459F" w:rsidP="00E0459F">
      <w:pPr>
        <w:spacing w:after="0" w:line="240" w:lineRule="auto"/>
        <w:ind w:firstLine="708"/>
        <w:rPr>
          <w:rFonts w:cstheme="minorHAnsi"/>
          <w:b/>
        </w:rPr>
      </w:pPr>
    </w:p>
    <w:p w:rsidR="00E0459F" w:rsidRDefault="00E0459F" w:rsidP="00E0459F">
      <w:pPr>
        <w:spacing w:after="0" w:line="240" w:lineRule="auto"/>
        <w:ind w:firstLine="708"/>
        <w:rPr>
          <w:rFonts w:cstheme="minorHAnsi"/>
          <w:b/>
        </w:rPr>
      </w:pPr>
    </w:p>
    <w:p w:rsidR="008B2601" w:rsidRPr="00591B88" w:rsidRDefault="008B2601" w:rsidP="00EA2FBE">
      <w:pPr>
        <w:spacing w:after="0"/>
        <w:ind w:firstLine="708"/>
        <w:rPr>
          <w:rFonts w:cstheme="minorHAnsi"/>
          <w:b/>
        </w:rPr>
      </w:pPr>
      <w:r w:rsidRPr="00591B88">
        <w:rPr>
          <w:rFonts w:cstheme="minorHAnsi"/>
          <w:b/>
        </w:rPr>
        <w:t xml:space="preserve">Obchodné meno, sídlo a kontakt na predkladateľa ponuky: </w:t>
      </w:r>
      <w:r w:rsidRPr="00591B88">
        <w:rPr>
          <w:rFonts w:cstheme="minorHAnsi"/>
          <w:color w:val="FF0000"/>
        </w:rPr>
        <w:t>doplní predkladateľ ponuky</w:t>
      </w:r>
    </w:p>
    <w:p w:rsidR="008B2601" w:rsidRPr="00591B88" w:rsidRDefault="008B2601" w:rsidP="00EA2FBE">
      <w:pPr>
        <w:spacing w:after="0"/>
        <w:ind w:firstLine="708"/>
        <w:rPr>
          <w:rFonts w:cstheme="minorHAnsi"/>
          <w:b/>
        </w:rPr>
      </w:pPr>
      <w:r w:rsidRPr="00591B88">
        <w:rPr>
          <w:rFonts w:cstheme="minorHAnsi"/>
          <w:b/>
        </w:rPr>
        <w:t xml:space="preserve">Obchodné meno výrobcu zariadenia/logického celku, resp. prídavných zariadení/príslušenstva: </w:t>
      </w:r>
      <w:r w:rsidRPr="00591B88">
        <w:rPr>
          <w:rFonts w:cstheme="minorHAnsi"/>
          <w:color w:val="FF0000"/>
        </w:rPr>
        <w:t>doplní predkladateľ ponuky</w:t>
      </w:r>
    </w:p>
    <w:p w:rsidR="008B2601" w:rsidRPr="00591B88" w:rsidRDefault="008B2601" w:rsidP="00EA2FBE">
      <w:pPr>
        <w:spacing w:after="0"/>
        <w:ind w:firstLine="708"/>
        <w:rPr>
          <w:rFonts w:cstheme="minorHAnsi"/>
          <w:b/>
        </w:rPr>
      </w:pPr>
      <w:r w:rsidRPr="00591B88">
        <w:rPr>
          <w:rFonts w:cstheme="minorHAnsi"/>
          <w:b/>
        </w:rPr>
        <w:t>Typové označenie zariadenia/ logického celku, resp. prídavných zariadení/príslušenstva:</w:t>
      </w:r>
      <w:r w:rsidRPr="00591B88">
        <w:rPr>
          <w:rFonts w:cstheme="minorHAnsi"/>
          <w:color w:val="FF0000"/>
        </w:rPr>
        <w:t xml:space="preserve"> doplní predkladateľ ponuky</w:t>
      </w:r>
    </w:p>
    <w:p w:rsidR="008B2601" w:rsidRPr="00591B88" w:rsidRDefault="008B2601" w:rsidP="00EA2FBE">
      <w:pPr>
        <w:spacing w:after="0"/>
        <w:ind w:firstLine="708"/>
        <w:rPr>
          <w:rFonts w:cstheme="minorHAnsi"/>
          <w:b/>
        </w:rPr>
      </w:pPr>
      <w:r w:rsidRPr="00591B88">
        <w:rPr>
          <w:rFonts w:cstheme="minorHAnsi"/>
          <w:b/>
        </w:rPr>
        <w:t>Dátum vypracovania cenovej ponuky:</w:t>
      </w:r>
      <w:r w:rsidRPr="00591B88">
        <w:rPr>
          <w:rFonts w:cstheme="minorHAnsi"/>
          <w:color w:val="FF0000"/>
        </w:rPr>
        <w:t xml:space="preserve"> doplní predkladateľ ponuky</w:t>
      </w:r>
    </w:p>
    <w:p w:rsidR="00A448C6" w:rsidRDefault="00A448C6" w:rsidP="00EA2FBE">
      <w:pPr>
        <w:spacing w:after="0"/>
        <w:ind w:firstLine="708"/>
        <w:rPr>
          <w:rFonts w:cstheme="minorHAnsi"/>
          <w:b/>
        </w:rPr>
      </w:pPr>
    </w:p>
    <w:p w:rsidR="00A448C6" w:rsidRDefault="00A448C6" w:rsidP="00EA2FBE">
      <w:pPr>
        <w:spacing w:after="0"/>
        <w:ind w:firstLine="708"/>
        <w:rPr>
          <w:rFonts w:cstheme="minorHAnsi"/>
          <w:b/>
        </w:rPr>
      </w:pPr>
    </w:p>
    <w:p w:rsidR="008B2601" w:rsidRPr="00591B88" w:rsidRDefault="008B2601" w:rsidP="00EA2FBE">
      <w:pPr>
        <w:spacing w:after="0"/>
        <w:ind w:firstLine="708"/>
        <w:rPr>
          <w:rFonts w:cstheme="minorHAnsi"/>
          <w:b/>
        </w:rPr>
      </w:pPr>
      <w:r w:rsidRPr="00591B88">
        <w:rPr>
          <w:rFonts w:cstheme="minorHAnsi"/>
          <w:b/>
        </w:rPr>
        <w:t>Cenová ponuka zodpovedá cenám obvyklým v danom mieste a čase.</w:t>
      </w:r>
    </w:p>
    <w:p w:rsidR="00EA2FBE" w:rsidRDefault="00EA2FBE" w:rsidP="00EA2FBE">
      <w:pPr>
        <w:spacing w:after="0"/>
        <w:ind w:firstLine="708"/>
        <w:jc w:val="right"/>
        <w:rPr>
          <w:rFonts w:cstheme="minorHAnsi"/>
        </w:rPr>
      </w:pPr>
    </w:p>
    <w:p w:rsidR="008B2601" w:rsidRPr="00591B88" w:rsidRDefault="008B2601" w:rsidP="00EA2FBE">
      <w:pPr>
        <w:spacing w:after="0"/>
        <w:ind w:firstLine="708"/>
        <w:jc w:val="right"/>
        <w:rPr>
          <w:rFonts w:cstheme="minorHAnsi"/>
        </w:rPr>
      </w:pPr>
      <w:r w:rsidRPr="00591B88">
        <w:rPr>
          <w:rFonts w:cstheme="minorHAnsi"/>
          <w:noProof/>
        </w:rPr>
        <w:drawing>
          <wp:inline distT="0" distB="0" distL="0" distR="0" wp14:anchorId="553E70D2" wp14:editId="577AFB9C">
            <wp:extent cx="1304925" cy="381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59F" w:rsidRPr="00591B88" w:rsidRDefault="008B2601" w:rsidP="00A448C6">
      <w:pPr>
        <w:spacing w:after="0"/>
        <w:ind w:firstLine="708"/>
        <w:jc w:val="right"/>
        <w:rPr>
          <w:rFonts w:cstheme="minorHAnsi"/>
        </w:rPr>
      </w:pPr>
      <w:r w:rsidRPr="00591B88">
        <w:rPr>
          <w:rFonts w:cstheme="minorHAnsi"/>
        </w:rPr>
        <w:t xml:space="preserve">    Pečiatka + podp</w:t>
      </w:r>
      <w:r w:rsidR="004E5D3D">
        <w:rPr>
          <w:rFonts w:cstheme="minorHAnsi"/>
        </w:rPr>
        <w:t>is</w:t>
      </w:r>
    </w:p>
    <w:sectPr w:rsidR="00E0459F" w:rsidRPr="00591B88" w:rsidSect="00AE056C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BC" w:rsidRDefault="00B565BC" w:rsidP="00B610F7">
      <w:pPr>
        <w:spacing w:after="0" w:line="240" w:lineRule="auto"/>
      </w:pPr>
      <w:r>
        <w:separator/>
      </w:r>
    </w:p>
  </w:endnote>
  <w:endnote w:type="continuationSeparator" w:id="0">
    <w:p w:rsidR="00B565BC" w:rsidRDefault="00B565BC" w:rsidP="00B6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BC" w:rsidRDefault="00B565BC" w:rsidP="00B610F7">
      <w:pPr>
        <w:spacing w:after="0" w:line="240" w:lineRule="auto"/>
      </w:pPr>
      <w:r>
        <w:separator/>
      </w:r>
    </w:p>
  </w:footnote>
  <w:footnote w:type="continuationSeparator" w:id="0">
    <w:p w:rsidR="00B565BC" w:rsidRDefault="00B565BC" w:rsidP="00B6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F7" w:rsidRPr="00B610F7" w:rsidRDefault="00B610F7" w:rsidP="00B610F7">
    <w:pPr>
      <w:pStyle w:val="Hlavika"/>
      <w:jc w:val="center"/>
      <w:rPr>
        <w:b/>
        <w:bCs/>
        <w:u w:val="single"/>
      </w:rPr>
    </w:pPr>
    <w:r w:rsidRPr="00B610F7">
      <w:rPr>
        <w:b/>
        <w:bCs/>
        <w:u w:val="single"/>
      </w:rPr>
      <w:t>ALFA BIO s.r.o, Kremnička 71, 974 05 Banská Bystrica, IČO: 30 223 045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FE5"/>
    <w:multiLevelType w:val="hybridMultilevel"/>
    <w:tmpl w:val="5FE8C9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69D8"/>
    <w:multiLevelType w:val="hybridMultilevel"/>
    <w:tmpl w:val="C3F8B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96CB1"/>
    <w:multiLevelType w:val="hybridMultilevel"/>
    <w:tmpl w:val="464E9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6C"/>
    <w:rsid w:val="00007A91"/>
    <w:rsid w:val="0003467F"/>
    <w:rsid w:val="00057457"/>
    <w:rsid w:val="00077D26"/>
    <w:rsid w:val="00095EC1"/>
    <w:rsid w:val="000B3ADA"/>
    <w:rsid w:val="000B66B5"/>
    <w:rsid w:val="00117FAD"/>
    <w:rsid w:val="00145978"/>
    <w:rsid w:val="001E0431"/>
    <w:rsid w:val="002025B9"/>
    <w:rsid w:val="00227522"/>
    <w:rsid w:val="00297A63"/>
    <w:rsid w:val="002E4634"/>
    <w:rsid w:val="002F278C"/>
    <w:rsid w:val="003245FD"/>
    <w:rsid w:val="003334C4"/>
    <w:rsid w:val="00385007"/>
    <w:rsid w:val="003F0EE8"/>
    <w:rsid w:val="003F14C0"/>
    <w:rsid w:val="00450BE8"/>
    <w:rsid w:val="00463BEA"/>
    <w:rsid w:val="00473766"/>
    <w:rsid w:val="00491799"/>
    <w:rsid w:val="004A21F1"/>
    <w:rsid w:val="004E2381"/>
    <w:rsid w:val="004E5D3D"/>
    <w:rsid w:val="00591B88"/>
    <w:rsid w:val="005D20F6"/>
    <w:rsid w:val="005D27F1"/>
    <w:rsid w:val="005E7086"/>
    <w:rsid w:val="0062410E"/>
    <w:rsid w:val="00655811"/>
    <w:rsid w:val="00683CEC"/>
    <w:rsid w:val="00712580"/>
    <w:rsid w:val="007523E2"/>
    <w:rsid w:val="00762969"/>
    <w:rsid w:val="007A7A47"/>
    <w:rsid w:val="007C1E9D"/>
    <w:rsid w:val="008B2601"/>
    <w:rsid w:val="008F4467"/>
    <w:rsid w:val="009776C5"/>
    <w:rsid w:val="009C5BFB"/>
    <w:rsid w:val="009E6561"/>
    <w:rsid w:val="00A448C6"/>
    <w:rsid w:val="00A53A38"/>
    <w:rsid w:val="00A97178"/>
    <w:rsid w:val="00AE056C"/>
    <w:rsid w:val="00AF44E4"/>
    <w:rsid w:val="00AF6413"/>
    <w:rsid w:val="00B23A6C"/>
    <w:rsid w:val="00B462C4"/>
    <w:rsid w:val="00B565BC"/>
    <w:rsid w:val="00B610F7"/>
    <w:rsid w:val="00B84497"/>
    <w:rsid w:val="00BA3F3C"/>
    <w:rsid w:val="00BC00B2"/>
    <w:rsid w:val="00BC554A"/>
    <w:rsid w:val="00C066F5"/>
    <w:rsid w:val="00C5169A"/>
    <w:rsid w:val="00CA7E85"/>
    <w:rsid w:val="00D043EE"/>
    <w:rsid w:val="00D13834"/>
    <w:rsid w:val="00DE08CE"/>
    <w:rsid w:val="00E0459F"/>
    <w:rsid w:val="00E10073"/>
    <w:rsid w:val="00E15828"/>
    <w:rsid w:val="00E477FF"/>
    <w:rsid w:val="00EA2FBE"/>
    <w:rsid w:val="00F84E05"/>
    <w:rsid w:val="00F93254"/>
    <w:rsid w:val="00FB07BA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C8D5-0DDB-4F4F-9A39-3395F4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Základný text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05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3ADA"/>
    <w:pPr>
      <w:ind w:left="720"/>
      <w:contextualSpacing/>
    </w:pPr>
  </w:style>
  <w:style w:type="paragraph" w:customStyle="1" w:styleId="Zkladntext21">
    <w:name w:val="Základný text 21"/>
    <w:basedOn w:val="Normlny"/>
    <w:rsid w:val="000B3A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Bezriadkovania">
    <w:name w:val="No Spacing"/>
    <w:uiPriority w:val="1"/>
    <w:qFormat/>
    <w:rsid w:val="0062410E"/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B6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10F7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6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10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2019-12-04T14:27:00Z</cp:lastPrinted>
  <dcterms:created xsi:type="dcterms:W3CDTF">2019-11-27T06:22:00Z</dcterms:created>
  <dcterms:modified xsi:type="dcterms:W3CDTF">2019-12-17T09:39:00Z</dcterms:modified>
</cp:coreProperties>
</file>